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F3B06" w14:textId="77777777" w:rsidR="003D47D5" w:rsidRDefault="00ED762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516F3B07" w14:textId="77777777" w:rsidR="003D47D5" w:rsidRDefault="00ED762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516F3B08" w14:textId="77777777" w:rsidR="003D47D5" w:rsidRDefault="00ED762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516F3B09"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516F3B0A"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14:paraId="516F3B0B"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516F3B0C"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14:paraId="516F3B0D" w14:textId="77777777" w:rsidR="003D47D5" w:rsidRDefault="00ED762E">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516F3B0E"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14:paraId="516F3B0F"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sz w:val="24"/>
          <w:szCs w:val="24"/>
        </w:rPr>
      </w:pPr>
      <w:r>
        <w:rPr>
          <w:rFonts w:ascii="Arial" w:eastAsia="Arial" w:hAnsi="Arial" w:cs="Arial"/>
          <w:sz w:val="24"/>
          <w:szCs w:val="24"/>
        </w:rPr>
        <w:t xml:space="preserve">requires the Supplier to develop proposals or a solution in respect of such Deliverables; </w:t>
      </w:r>
    </w:p>
    <w:p w14:paraId="516F3B10"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sz w:val="24"/>
          <w:szCs w:val="24"/>
        </w:rPr>
      </w:pPr>
      <w:r>
        <w:rPr>
          <w:rFonts w:ascii="Arial" w:eastAsia="Arial" w:hAnsi="Arial" w:cs="Arial"/>
          <w:sz w:val="24"/>
          <w:szCs w:val="24"/>
        </w:rPr>
        <w:t>needs to amend or refine the terms of the Framework Contract to reflect its Deliverables to the extent permi</w:t>
      </w:r>
      <w:r>
        <w:rPr>
          <w:rFonts w:ascii="Arial" w:eastAsia="Arial" w:hAnsi="Arial" w:cs="Arial"/>
          <w:sz w:val="24"/>
          <w:szCs w:val="24"/>
        </w:rPr>
        <w:t>tted by and in accordance with the Regulations; and/or</w:t>
      </w:r>
    </w:p>
    <w:p w14:paraId="516F3B11" w14:textId="77777777" w:rsidR="003D47D5" w:rsidRDefault="00ED762E">
      <w:pPr>
        <w:widowControl/>
        <w:numPr>
          <w:ilvl w:val="2"/>
          <w:numId w:val="2"/>
        </w:numPr>
        <w:tabs>
          <w:tab w:val="left" w:pos="1134"/>
        </w:tabs>
        <w:spacing w:before="120" w:after="120"/>
        <w:jc w:val="both"/>
        <w:rPr>
          <w:rFonts w:ascii="Arial" w:eastAsia="Arial" w:hAnsi="Arial" w:cs="Arial"/>
        </w:rPr>
      </w:pPr>
      <w:r>
        <w:rPr>
          <w:rFonts w:ascii="Arial" w:eastAsia="Arial" w:hAnsi="Arial" w:cs="Arial"/>
          <w:sz w:val="24"/>
          <w:szCs w:val="24"/>
        </w:rPr>
        <w:t>requires any additional provisions to be included that are not already laid down in this Contract (to the extent permitted by and in accordance with the Regulations and) to deal with any of the following:</w:t>
      </w:r>
    </w:p>
    <w:p w14:paraId="516F3B12" w14:textId="77777777" w:rsidR="003D47D5" w:rsidRDefault="00ED762E">
      <w:pPr>
        <w:keepNext/>
        <w:widowControl/>
        <w:numPr>
          <w:ilvl w:val="3"/>
          <w:numId w:val="2"/>
        </w:numPr>
        <w:tabs>
          <w:tab w:val="left" w:pos="2552"/>
        </w:tabs>
        <w:spacing w:before="120" w:after="120"/>
        <w:ind w:left="3119" w:hanging="566"/>
        <w:jc w:val="both"/>
        <w:rPr>
          <w:rFonts w:ascii="Arial" w:eastAsia="Arial" w:hAnsi="Arial" w:cs="Arial"/>
        </w:rPr>
      </w:pPr>
      <w:r>
        <w:rPr>
          <w:rFonts w:ascii="Arial" w:eastAsia="Arial" w:hAnsi="Arial" w:cs="Arial"/>
          <w:sz w:val="24"/>
          <w:szCs w:val="24"/>
        </w:rPr>
        <w:t xml:space="preserve">security requirements over and above those set out </w:t>
      </w:r>
      <w:r>
        <w:rPr>
          <w:rFonts w:ascii="Arial" w:eastAsia="Arial" w:hAnsi="Arial" w:cs="Arial"/>
          <w:sz w:val="24"/>
          <w:szCs w:val="24"/>
        </w:rPr>
        <w:t>in Call-Off Schedule 9A (Security) or Call-Off Schedule 9B (MOD Security) (as applicable), including staff clearance;</w:t>
      </w:r>
    </w:p>
    <w:p w14:paraId="516F3B13" w14:textId="77777777" w:rsidR="003D47D5" w:rsidRDefault="00ED762E">
      <w:pPr>
        <w:keepNext/>
        <w:widowControl/>
        <w:numPr>
          <w:ilvl w:val="3"/>
          <w:numId w:val="2"/>
        </w:numPr>
        <w:spacing w:before="120" w:after="120"/>
        <w:ind w:left="3119" w:hanging="566"/>
        <w:jc w:val="both"/>
        <w:rPr>
          <w:rFonts w:ascii="Arial" w:eastAsia="Arial" w:hAnsi="Arial" w:cs="Arial"/>
        </w:rPr>
      </w:pPr>
      <w:r>
        <w:rPr>
          <w:rFonts w:ascii="Arial" w:eastAsia="Arial" w:hAnsi="Arial" w:cs="Arial"/>
          <w:sz w:val="24"/>
          <w:szCs w:val="24"/>
        </w:rPr>
        <w:t>additional Service Levels; and</w:t>
      </w:r>
    </w:p>
    <w:p w14:paraId="516F3B14" w14:textId="77777777" w:rsidR="003D47D5" w:rsidRDefault="00ED762E">
      <w:pPr>
        <w:keepNext/>
        <w:widowControl/>
        <w:numPr>
          <w:ilvl w:val="3"/>
          <w:numId w:val="2"/>
        </w:numPr>
        <w:spacing w:before="120" w:after="120"/>
        <w:ind w:left="3119" w:hanging="566"/>
        <w:jc w:val="both"/>
        <w:rPr>
          <w:rFonts w:ascii="Arial" w:eastAsia="Arial" w:hAnsi="Arial" w:cs="Arial"/>
        </w:rPr>
      </w:pPr>
      <w:r>
        <w:rPr>
          <w:rFonts w:ascii="Arial" w:eastAsia="Arial" w:hAnsi="Arial" w:cs="Arial"/>
          <w:sz w:val="24"/>
          <w:szCs w:val="24"/>
        </w:rPr>
        <w:t>corporate social responsibility requirements,</w:t>
      </w:r>
    </w:p>
    <w:p w14:paraId="516F3B15" w14:textId="77777777" w:rsidR="003D47D5" w:rsidRDefault="00ED762E">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sz w:val="24"/>
          <w:szCs w:val="24"/>
        </w:rPr>
        <w:t>then the Buyer may award a Call-Off Contract in accordance wi</w:t>
      </w:r>
      <w:r>
        <w:rPr>
          <w:rFonts w:ascii="Arial" w:eastAsia="Arial" w:hAnsi="Arial" w:cs="Arial"/>
          <w:sz w:val="24"/>
          <w:szCs w:val="24"/>
        </w:rPr>
        <w:t xml:space="preserve">th </w:t>
      </w:r>
      <w:r>
        <w:rPr>
          <w:rFonts w:ascii="Arial" w:eastAsia="Arial" w:hAnsi="Arial" w:cs="Arial"/>
          <w:color w:val="000000"/>
          <w:sz w:val="24"/>
          <w:szCs w:val="24"/>
        </w:rPr>
        <w:t>the Further Competition Procedure set out in Paragraph 3 below.</w:t>
      </w:r>
    </w:p>
    <w:p w14:paraId="516F3B16" w14:textId="77777777" w:rsidR="003D47D5" w:rsidRDefault="00ED762E">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How a direct award works</w:t>
      </w:r>
    </w:p>
    <w:p w14:paraId="516F3B17"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14:paraId="516F3B18"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14:paraId="516F3B19"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14:paraId="516F3B1A" w14:textId="77777777" w:rsidR="003D47D5" w:rsidRDefault="00ED762E">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516F3B1B" w14:textId="77777777" w:rsidR="003D47D5" w:rsidRDefault="00ED762E">
      <w:pPr>
        <w:keepNext/>
        <w:widowControl/>
        <w:pBdr>
          <w:top w:val="nil"/>
          <w:left w:val="nil"/>
          <w:bottom w:val="nil"/>
          <w:right w:val="nil"/>
          <w:between w:val="nil"/>
        </w:pBdr>
        <w:tabs>
          <w:tab w:val="left" w:pos="3054"/>
        </w:tabs>
        <w:spacing w:before="120" w:after="120"/>
        <w:ind w:left="1134" w:hanging="774"/>
        <w:jc w:val="both"/>
        <w:rPr>
          <w:rFonts w:ascii="Arial" w:eastAsia="Arial" w:hAnsi="Arial" w:cs="Arial"/>
          <w:b/>
          <w:color w:val="000000"/>
          <w:sz w:val="24"/>
          <w:szCs w:val="24"/>
        </w:rPr>
      </w:pPr>
      <w:r>
        <w:rPr>
          <w:rFonts w:ascii="Arial" w:eastAsia="Arial" w:hAnsi="Arial" w:cs="Arial"/>
          <w:b/>
          <w:color w:val="000000"/>
          <w:sz w:val="24"/>
          <w:szCs w:val="24"/>
        </w:rPr>
        <w:t>What the Buyer has to do</w:t>
      </w:r>
    </w:p>
    <w:p w14:paraId="516F3B1C"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Buyer awarding a Call-Off Contract under this Contract through a Further Competition Procedure shall:</w:t>
      </w:r>
    </w:p>
    <w:p w14:paraId="516F3B1D" w14:textId="77777777" w:rsidR="003D47D5" w:rsidRDefault="00ED762E">
      <w:pPr>
        <w:widowControl/>
        <w:numPr>
          <w:ilvl w:val="2"/>
          <w:numId w:val="2"/>
        </w:numPr>
        <w:tabs>
          <w:tab w:val="left" w:pos="1985"/>
        </w:tabs>
        <w:spacing w:before="120" w:after="120"/>
        <w:jc w:val="both"/>
        <w:rPr>
          <w:rFonts w:ascii="Arial" w:eastAsia="Arial" w:hAnsi="Arial" w:cs="Arial"/>
        </w:rPr>
      </w:pPr>
      <w:bookmarkStart w:id="4" w:name="_heading=h.2et92p0" w:colFirst="0" w:colLast="0"/>
      <w:bookmarkEnd w:id="4"/>
      <w:r>
        <w:rPr>
          <w:rFonts w:ascii="Arial" w:eastAsia="Arial" w:hAnsi="Arial" w:cs="Arial"/>
          <w:sz w:val="24"/>
          <w:szCs w:val="24"/>
        </w:rPr>
        <w:t>develop a Statement of Requirements setting out its requirements for the Deliverables and identify the Suppliers capable of s</w:t>
      </w:r>
      <w:r>
        <w:rPr>
          <w:rFonts w:ascii="Arial" w:eastAsia="Arial" w:hAnsi="Arial" w:cs="Arial"/>
          <w:sz w:val="24"/>
          <w:szCs w:val="24"/>
        </w:rPr>
        <w:t>upplying the them;</w:t>
      </w:r>
    </w:p>
    <w:p w14:paraId="516F3B1E" w14:textId="77777777" w:rsidR="003D47D5" w:rsidRDefault="00ED762E">
      <w:pPr>
        <w:widowControl/>
        <w:numPr>
          <w:ilvl w:val="2"/>
          <w:numId w:val="2"/>
        </w:numPr>
        <w:tabs>
          <w:tab w:val="left" w:pos="1985"/>
        </w:tabs>
        <w:spacing w:before="120" w:after="120"/>
        <w:jc w:val="both"/>
        <w:rPr>
          <w:rFonts w:ascii="Arial" w:eastAsia="Arial" w:hAnsi="Arial" w:cs="Arial"/>
        </w:rPr>
      </w:pPr>
      <w:bookmarkStart w:id="5" w:name="_heading=h.tyjcwt" w:colFirst="0" w:colLast="0"/>
      <w:bookmarkEnd w:id="5"/>
      <w:r>
        <w:rPr>
          <w:rFonts w:ascii="Arial" w:eastAsia="Arial" w:hAnsi="Arial" w:cs="Arial"/>
          <w:sz w:val="24"/>
          <w:szCs w:val="24"/>
        </w:rPr>
        <w:t>amend or refine the Deliverables to reflect its requirements by using the Order Form only to the extent permitted by and in accordance with Paragraph 1.3 above and the requirements of the Regulations;</w:t>
      </w:r>
    </w:p>
    <w:p w14:paraId="516F3B1F" w14:textId="77777777" w:rsidR="003D47D5" w:rsidRDefault="00ED762E">
      <w:pPr>
        <w:widowControl/>
        <w:numPr>
          <w:ilvl w:val="2"/>
          <w:numId w:val="2"/>
        </w:numPr>
        <w:tabs>
          <w:tab w:val="left" w:pos="1985"/>
        </w:tabs>
        <w:spacing w:before="120" w:after="120"/>
        <w:jc w:val="both"/>
        <w:rPr>
          <w:rFonts w:ascii="Arial" w:eastAsia="Arial" w:hAnsi="Arial" w:cs="Arial"/>
        </w:rPr>
      </w:pPr>
      <w:r>
        <w:rPr>
          <w:rFonts w:ascii="Arial" w:eastAsia="Arial" w:hAnsi="Arial" w:cs="Arial"/>
          <w:sz w:val="24"/>
          <w:szCs w:val="24"/>
        </w:rPr>
        <w:t>invite tenders by conducting a Furth</w:t>
      </w:r>
      <w:r>
        <w:rPr>
          <w:rFonts w:ascii="Arial" w:eastAsia="Arial" w:hAnsi="Arial" w:cs="Arial"/>
          <w:sz w:val="24"/>
          <w:szCs w:val="24"/>
        </w:rPr>
        <w:t>er Competition Procedure for its Deliverables in accordance with the Regulations and in particular the Buyer shall:</w:t>
      </w:r>
    </w:p>
    <w:p w14:paraId="516F3B20" w14:textId="77777777" w:rsidR="003D47D5" w:rsidRDefault="00ED762E">
      <w:pPr>
        <w:keepNext/>
        <w:widowControl/>
        <w:numPr>
          <w:ilvl w:val="3"/>
          <w:numId w:val="5"/>
        </w:numPr>
        <w:tabs>
          <w:tab w:val="left" w:pos="3261"/>
        </w:tabs>
        <w:spacing w:before="120" w:after="120"/>
        <w:ind w:left="3261" w:hanging="653"/>
        <w:jc w:val="both"/>
        <w:rPr>
          <w:rFonts w:ascii="Arial" w:eastAsia="Arial" w:hAnsi="Arial" w:cs="Arial"/>
        </w:rPr>
      </w:pPr>
      <w:r>
        <w:rPr>
          <w:rFonts w:ascii="Arial" w:eastAsia="Arial" w:hAnsi="Arial" w:cs="Arial"/>
          <w:sz w:val="24"/>
          <w:szCs w:val="24"/>
        </w:rPr>
        <w:t>invite the Suppliers identified in accordance with Paragraph 3.1.1 to submit a tender in writing for each proposed Call-Off Contract to be a</w:t>
      </w:r>
      <w:r>
        <w:rPr>
          <w:rFonts w:ascii="Arial" w:eastAsia="Arial" w:hAnsi="Arial" w:cs="Arial"/>
          <w:sz w:val="24"/>
          <w:szCs w:val="24"/>
        </w:rPr>
        <w:t>warded by giving written notice by email to the relevant Supplier Representative of each Supplier;</w:t>
      </w:r>
    </w:p>
    <w:p w14:paraId="516F3B21" w14:textId="77777777" w:rsidR="003D47D5" w:rsidRDefault="00ED762E">
      <w:pPr>
        <w:keepNext/>
        <w:widowControl/>
        <w:numPr>
          <w:ilvl w:val="3"/>
          <w:numId w:val="5"/>
        </w:numPr>
        <w:tabs>
          <w:tab w:val="left" w:pos="3261"/>
        </w:tabs>
        <w:spacing w:before="120" w:after="120"/>
        <w:ind w:left="3261" w:hanging="653"/>
        <w:jc w:val="both"/>
        <w:rPr>
          <w:rFonts w:ascii="Arial" w:eastAsia="Arial" w:hAnsi="Arial" w:cs="Arial"/>
        </w:rPr>
      </w:pPr>
      <w:r>
        <w:rPr>
          <w:rFonts w:ascii="Arial" w:eastAsia="Arial" w:hAnsi="Arial" w:cs="Arial"/>
          <w:sz w:val="24"/>
          <w:szCs w:val="24"/>
        </w:rPr>
        <w:t xml:space="preserve">set a time limit for the receipt by it of the tenders which takes into account factors such as the complexity of the subject matter of the proposed Call-Off </w:t>
      </w:r>
      <w:r>
        <w:rPr>
          <w:rFonts w:ascii="Arial" w:eastAsia="Arial" w:hAnsi="Arial" w:cs="Arial"/>
          <w:sz w:val="24"/>
          <w:szCs w:val="24"/>
        </w:rPr>
        <w:t>Contract and the time needed to submit tenders; and</w:t>
      </w:r>
    </w:p>
    <w:p w14:paraId="516F3B22" w14:textId="77777777" w:rsidR="003D47D5" w:rsidRDefault="00ED762E">
      <w:pPr>
        <w:keepNext/>
        <w:widowControl/>
        <w:numPr>
          <w:ilvl w:val="3"/>
          <w:numId w:val="5"/>
        </w:numPr>
        <w:tabs>
          <w:tab w:val="left" w:pos="3261"/>
        </w:tabs>
        <w:spacing w:before="120" w:after="120"/>
        <w:ind w:left="3261" w:hanging="653"/>
        <w:jc w:val="both"/>
        <w:rPr>
          <w:rFonts w:ascii="Arial" w:eastAsia="Arial" w:hAnsi="Arial" w:cs="Arial"/>
        </w:rPr>
      </w:pPr>
      <w:r>
        <w:rPr>
          <w:rFonts w:ascii="Arial" w:eastAsia="Arial" w:hAnsi="Arial" w:cs="Arial"/>
          <w:sz w:val="24"/>
          <w:szCs w:val="24"/>
        </w:rPr>
        <w:t>keep each tender confidential until the time limit set out for the return of tenders has expired;</w:t>
      </w:r>
    </w:p>
    <w:p w14:paraId="516F3B23" w14:textId="77777777" w:rsidR="003D47D5" w:rsidRDefault="00ED762E">
      <w:pPr>
        <w:widowControl/>
        <w:numPr>
          <w:ilvl w:val="2"/>
          <w:numId w:val="2"/>
        </w:numPr>
        <w:tabs>
          <w:tab w:val="left" w:pos="1985"/>
        </w:tabs>
        <w:spacing w:before="120" w:after="120"/>
        <w:jc w:val="both"/>
        <w:rPr>
          <w:rFonts w:ascii="Arial" w:eastAsia="Arial" w:hAnsi="Arial" w:cs="Arial"/>
        </w:rPr>
      </w:pPr>
      <w:r>
        <w:rPr>
          <w:rFonts w:ascii="Arial" w:eastAsia="Arial" w:hAnsi="Arial" w:cs="Arial"/>
          <w:sz w:val="24"/>
          <w:szCs w:val="24"/>
        </w:rPr>
        <w:t>apply the further competition award criteria to the Suppliers' compliant tenders submitted through the Fur</w:t>
      </w:r>
      <w:r>
        <w:rPr>
          <w:rFonts w:ascii="Arial" w:eastAsia="Arial" w:hAnsi="Arial" w:cs="Arial"/>
          <w:sz w:val="24"/>
          <w:szCs w:val="24"/>
        </w:rPr>
        <w:t>ther Competition Procedure as the basis of its decision to award a Call-Off Contract for its Deliverables;</w:t>
      </w:r>
    </w:p>
    <w:p w14:paraId="516F3B24" w14:textId="77777777" w:rsidR="003D47D5" w:rsidRDefault="00ED762E">
      <w:pPr>
        <w:widowControl/>
        <w:numPr>
          <w:ilvl w:val="2"/>
          <w:numId w:val="2"/>
        </w:numPr>
        <w:tabs>
          <w:tab w:val="left" w:pos="1985"/>
        </w:tabs>
        <w:spacing w:before="120" w:after="120"/>
        <w:jc w:val="both"/>
        <w:rPr>
          <w:rFonts w:ascii="Arial" w:eastAsia="Arial" w:hAnsi="Arial" w:cs="Arial"/>
        </w:rPr>
      </w:pPr>
      <w:r>
        <w:rPr>
          <w:rFonts w:ascii="Arial" w:eastAsia="Arial" w:hAnsi="Arial" w:cs="Arial"/>
          <w:sz w:val="24"/>
          <w:szCs w:val="24"/>
        </w:rPr>
        <w:lastRenderedPageBreak/>
        <w:t>on the basis set out above, award its Call-Off Contract to the successful Supplier in accordance with Paragraph 6. The Call-Off Contract shall:</w:t>
      </w:r>
    </w:p>
    <w:p w14:paraId="516F3B25" w14:textId="77777777" w:rsidR="003D47D5" w:rsidRDefault="00ED762E">
      <w:pPr>
        <w:widowControl/>
        <w:numPr>
          <w:ilvl w:val="3"/>
          <w:numId w:val="1"/>
        </w:numPr>
        <w:tabs>
          <w:tab w:val="left" w:pos="3641"/>
        </w:tabs>
        <w:spacing w:before="120" w:after="120"/>
        <w:ind w:left="3261" w:hanging="566"/>
        <w:jc w:val="both"/>
        <w:rPr>
          <w:rFonts w:ascii="Arial" w:eastAsia="Arial" w:hAnsi="Arial" w:cs="Arial"/>
        </w:rPr>
      </w:pPr>
      <w:r>
        <w:rPr>
          <w:rFonts w:ascii="Arial" w:eastAsia="Arial" w:hAnsi="Arial" w:cs="Arial"/>
          <w:sz w:val="24"/>
          <w:szCs w:val="24"/>
        </w:rPr>
        <w:t>state the Deliverables;</w:t>
      </w:r>
    </w:p>
    <w:p w14:paraId="516F3B26" w14:textId="77777777" w:rsidR="003D47D5" w:rsidRDefault="00ED762E">
      <w:pPr>
        <w:widowControl/>
        <w:numPr>
          <w:ilvl w:val="3"/>
          <w:numId w:val="1"/>
        </w:numPr>
        <w:tabs>
          <w:tab w:val="left" w:pos="3641"/>
        </w:tabs>
        <w:spacing w:before="120" w:after="120"/>
        <w:ind w:left="3261" w:hanging="566"/>
        <w:jc w:val="both"/>
        <w:rPr>
          <w:rFonts w:ascii="Arial" w:eastAsia="Arial" w:hAnsi="Arial" w:cs="Arial"/>
        </w:rPr>
      </w:pPr>
      <w:r>
        <w:rPr>
          <w:rFonts w:ascii="Arial" w:eastAsia="Arial" w:hAnsi="Arial" w:cs="Arial"/>
          <w:sz w:val="24"/>
          <w:szCs w:val="24"/>
        </w:rPr>
        <w:t>state the tender submitted by the successful Supplier;</w:t>
      </w:r>
    </w:p>
    <w:p w14:paraId="516F3B27" w14:textId="77777777" w:rsidR="003D47D5" w:rsidRDefault="00ED762E">
      <w:pPr>
        <w:widowControl/>
        <w:numPr>
          <w:ilvl w:val="3"/>
          <w:numId w:val="1"/>
        </w:numPr>
        <w:tabs>
          <w:tab w:val="left" w:pos="3641"/>
        </w:tabs>
        <w:spacing w:before="120" w:after="120"/>
        <w:ind w:left="3261" w:hanging="566"/>
        <w:jc w:val="both"/>
        <w:rPr>
          <w:rFonts w:ascii="Arial" w:eastAsia="Arial" w:hAnsi="Arial" w:cs="Arial"/>
        </w:rPr>
      </w:pPr>
      <w:r>
        <w:rPr>
          <w:rFonts w:ascii="Arial" w:eastAsia="Arial" w:hAnsi="Arial" w:cs="Arial"/>
          <w:sz w:val="24"/>
          <w:szCs w:val="24"/>
        </w:rPr>
        <w:t>state the Charges payable for the Deliverables in accordance with the tender submitted by the successful Supplier; and</w:t>
      </w:r>
    </w:p>
    <w:p w14:paraId="516F3B28" w14:textId="77777777" w:rsidR="003D47D5" w:rsidRDefault="00ED762E">
      <w:pPr>
        <w:widowControl/>
        <w:numPr>
          <w:ilvl w:val="3"/>
          <w:numId w:val="1"/>
        </w:numPr>
        <w:tabs>
          <w:tab w:val="left" w:pos="3641"/>
        </w:tabs>
        <w:spacing w:before="120" w:after="120"/>
        <w:ind w:left="3261" w:hanging="566"/>
        <w:jc w:val="both"/>
        <w:rPr>
          <w:rFonts w:ascii="Arial" w:eastAsia="Arial" w:hAnsi="Arial" w:cs="Arial"/>
        </w:rPr>
      </w:pPr>
      <w:r>
        <w:rPr>
          <w:rFonts w:ascii="Arial" w:eastAsia="Arial" w:hAnsi="Arial" w:cs="Arial"/>
          <w:sz w:val="24"/>
          <w:szCs w:val="24"/>
        </w:rPr>
        <w:t>incorporate the terms of the Order Form and Contract (as m</w:t>
      </w:r>
      <w:r>
        <w:rPr>
          <w:rFonts w:ascii="Arial" w:eastAsia="Arial" w:hAnsi="Arial" w:cs="Arial"/>
          <w:sz w:val="24"/>
          <w:szCs w:val="24"/>
        </w:rPr>
        <w:t>ay be amended or refined by the Buyer in accordance with Paragraph 3.1.2. above) applicable to the Deliverables; and</w:t>
      </w:r>
    </w:p>
    <w:p w14:paraId="516F3B29" w14:textId="77777777" w:rsidR="003D47D5" w:rsidRDefault="00ED762E">
      <w:pPr>
        <w:widowControl/>
        <w:numPr>
          <w:ilvl w:val="2"/>
          <w:numId w:val="2"/>
        </w:numPr>
        <w:tabs>
          <w:tab w:val="left" w:pos="3641"/>
        </w:tabs>
        <w:spacing w:before="120" w:after="120"/>
        <w:jc w:val="both"/>
        <w:rPr>
          <w:rFonts w:ascii="Arial" w:eastAsia="Arial" w:hAnsi="Arial" w:cs="Arial"/>
        </w:rPr>
      </w:pPr>
      <w:r>
        <w:rPr>
          <w:rFonts w:ascii="Arial" w:eastAsia="Arial" w:hAnsi="Arial" w:cs="Arial"/>
          <w:sz w:val="24"/>
          <w:szCs w:val="24"/>
        </w:rPr>
        <w:t>provide unsuccessful Suppliers with written feedback in relation to the reasons why their tenders were unsuccessful.</w:t>
      </w:r>
    </w:p>
    <w:p w14:paraId="516F3B2A" w14:textId="77777777" w:rsidR="003D47D5" w:rsidRDefault="00ED762E">
      <w:pPr>
        <w:keepNext/>
        <w:widowControl/>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 xml:space="preserve">What the Supplier has </w:t>
      </w:r>
      <w:r>
        <w:rPr>
          <w:rFonts w:ascii="Arial" w:eastAsia="Arial" w:hAnsi="Arial" w:cs="Arial"/>
          <w:b/>
          <w:color w:val="000000"/>
          <w:sz w:val="24"/>
          <w:szCs w:val="24"/>
        </w:rPr>
        <w:t>to do</w:t>
      </w:r>
    </w:p>
    <w:p w14:paraId="516F3B2B"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14:paraId="516F3B2C"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14:paraId="516F3B2D" w14:textId="77777777" w:rsidR="003D47D5" w:rsidRDefault="00ED762E">
      <w:pPr>
        <w:keepNext/>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w:t>
      </w:r>
      <w:r>
        <w:rPr>
          <w:rFonts w:ascii="Arial" w:eastAsia="Arial" w:hAnsi="Arial" w:cs="Arial"/>
          <w:color w:val="000000"/>
          <w:sz w:val="24"/>
          <w:szCs w:val="24"/>
        </w:rPr>
        <w:t xml:space="preserve"> as a minimum:</w:t>
      </w:r>
    </w:p>
    <w:p w14:paraId="516F3B2E"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516F3B2F"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w:t>
      </w:r>
      <w:r>
        <w:rPr>
          <w:rFonts w:ascii="Arial" w:eastAsia="Arial" w:hAnsi="Arial" w:cs="Arial"/>
          <w:color w:val="000000"/>
          <w:sz w:val="24"/>
          <w:szCs w:val="24"/>
        </w:rPr>
        <w:t>tement of Requirements;</w:t>
      </w:r>
    </w:p>
    <w:p w14:paraId="516F3B30"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516F3B31"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14:paraId="516F3B32"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confirmation of discounts applicable to the Deliv</w:t>
      </w:r>
      <w:r>
        <w:rPr>
          <w:rFonts w:ascii="Arial" w:eastAsia="Arial" w:hAnsi="Arial" w:cs="Arial"/>
          <w:color w:val="000000"/>
          <w:sz w:val="24"/>
          <w:szCs w:val="24"/>
        </w:rPr>
        <w:t>erables, as referenced in Framework Schedule 3 (Framework Prices) (if applicable).</w:t>
      </w:r>
    </w:p>
    <w:p w14:paraId="516F3B33"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w:t>
      </w:r>
      <w:r>
        <w:rPr>
          <w:rFonts w:ascii="Arial" w:eastAsia="Arial" w:hAnsi="Arial" w:cs="Arial"/>
          <w:color w:val="000000"/>
          <w:sz w:val="24"/>
          <w:szCs w:val="24"/>
        </w:rPr>
        <w:t>n Framework Schedule 3 (Framework Prices).</w:t>
      </w:r>
    </w:p>
    <w:p w14:paraId="516F3B34" w14:textId="77777777" w:rsidR="003D47D5" w:rsidRDefault="00ED762E">
      <w:pPr>
        <w:keepNext/>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agrees that:</w:t>
      </w:r>
    </w:p>
    <w:p w14:paraId="516F3B35"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w:t>
      </w:r>
      <w:r>
        <w:rPr>
          <w:rFonts w:ascii="Arial" w:eastAsia="Arial" w:hAnsi="Arial" w:cs="Arial"/>
          <w:color w:val="000000"/>
          <w:sz w:val="24"/>
          <w:szCs w:val="24"/>
        </w:rPr>
        <w:t>g Days (or such other period specified in the invitation to tender issued by the Buyer in accordance with the Call-Off Procedure); and</w:t>
      </w:r>
    </w:p>
    <w:p w14:paraId="516F3B36" w14:textId="77777777" w:rsidR="003D47D5" w:rsidRDefault="00ED762E">
      <w:pPr>
        <w:widowControl/>
        <w:numPr>
          <w:ilvl w:val="3"/>
          <w:numId w:val="2"/>
        </w:numPr>
        <w:pBdr>
          <w:top w:val="nil"/>
          <w:left w:val="nil"/>
          <w:bottom w:val="nil"/>
          <w:right w:val="nil"/>
          <w:between w:val="nil"/>
        </w:pBdr>
        <w:tabs>
          <w:tab w:val="left" w:pos="3261"/>
        </w:tabs>
        <w:spacing w:before="120" w:after="120"/>
        <w:ind w:left="3261" w:hanging="566"/>
        <w:jc w:val="both"/>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w:t>
      </w:r>
      <w:r>
        <w:rPr>
          <w:rFonts w:ascii="Arial" w:eastAsia="Arial" w:hAnsi="Arial" w:cs="Arial"/>
          <w:color w:val="000000"/>
          <w:sz w:val="24"/>
          <w:szCs w:val="24"/>
        </w:rPr>
        <w:t>sted and will not  fix or adjust the price of the tender by or in accordance with any agreement or arrangement with any other person. The Supplier certifies that it has not and undertakes that it will not:</w:t>
      </w:r>
    </w:p>
    <w:p w14:paraId="516F3B37" w14:textId="77777777" w:rsidR="003D47D5" w:rsidRDefault="00ED762E">
      <w:pPr>
        <w:widowControl/>
        <w:numPr>
          <w:ilvl w:val="4"/>
          <w:numId w:val="2"/>
        </w:numPr>
        <w:pBdr>
          <w:top w:val="nil"/>
          <w:left w:val="nil"/>
          <w:bottom w:val="nil"/>
          <w:right w:val="nil"/>
          <w:between w:val="nil"/>
        </w:pBdr>
        <w:tabs>
          <w:tab w:val="left" w:pos="6238"/>
        </w:tabs>
        <w:spacing w:before="120" w:after="120"/>
        <w:ind w:left="3686" w:hanging="566"/>
        <w:jc w:val="both"/>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w:t>
      </w:r>
      <w:r>
        <w:rPr>
          <w:rFonts w:ascii="Arial" w:eastAsia="Arial" w:hAnsi="Arial" w:cs="Arial"/>
          <w:color w:val="000000"/>
          <w:sz w:val="24"/>
          <w:szCs w:val="24"/>
        </w:rPr>
        <w:t>reparation of the tender; and</w:t>
      </w:r>
    </w:p>
    <w:p w14:paraId="516F3B38" w14:textId="77777777" w:rsidR="003D47D5" w:rsidRDefault="00ED762E">
      <w:pPr>
        <w:widowControl/>
        <w:numPr>
          <w:ilvl w:val="4"/>
          <w:numId w:val="2"/>
        </w:numPr>
        <w:pBdr>
          <w:top w:val="nil"/>
          <w:left w:val="nil"/>
          <w:bottom w:val="nil"/>
          <w:right w:val="nil"/>
          <w:between w:val="nil"/>
        </w:pBdr>
        <w:tabs>
          <w:tab w:val="left" w:pos="6238"/>
        </w:tabs>
        <w:spacing w:before="120" w:after="120"/>
        <w:ind w:left="3686" w:hanging="566"/>
        <w:jc w:val="both"/>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14:paraId="516F3B39" w14:textId="77777777" w:rsidR="003D47D5" w:rsidRDefault="00ED762E">
      <w:pPr>
        <w:keepNext/>
        <w:widowControl/>
        <w:numPr>
          <w:ilvl w:val="0"/>
          <w:numId w:val="2"/>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516F3B3A"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w:t>
      </w:r>
      <w:r>
        <w:rPr>
          <w:rFonts w:ascii="Arial" w:eastAsia="Arial" w:hAnsi="Arial" w:cs="Arial"/>
          <w:color w:val="000000"/>
          <w:sz w:val="24"/>
          <w:szCs w:val="24"/>
        </w:rPr>
        <w:t>e fact that the Buyer has followed a procedure as set out above in Paragraph 2 or 3 (as applicable), the Supplier acknowledges and agrees that the Buyer shall be entitled at all times to decline to make an award for its Deliverables and that nothing in thi</w:t>
      </w:r>
      <w:r>
        <w:rPr>
          <w:rFonts w:ascii="Arial" w:eastAsia="Arial" w:hAnsi="Arial" w:cs="Arial"/>
          <w:color w:val="000000"/>
          <w:sz w:val="24"/>
          <w:szCs w:val="24"/>
        </w:rPr>
        <w:t>s Contract shall oblige the Buyer to award any Call-Off Contract.</w:t>
      </w:r>
    </w:p>
    <w:p w14:paraId="516F3B3B" w14:textId="77777777" w:rsidR="003D47D5" w:rsidRDefault="00ED762E">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516F3B3C"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Supplier acknowledges that the Buyer is independently responsible for the conduct of its award of Call-Off Contracts under this Contract and that CCS is </w:t>
      </w:r>
      <w:r>
        <w:rPr>
          <w:rFonts w:ascii="Arial" w:eastAsia="Arial" w:hAnsi="Arial" w:cs="Arial"/>
          <w:color w:val="000000"/>
          <w:sz w:val="24"/>
          <w:szCs w:val="24"/>
        </w:rPr>
        <w:t>not responsible or accountable for and shall have no liability whatsoever, except where it is the Buyer, in relation to:</w:t>
      </w:r>
    </w:p>
    <w:p w14:paraId="516F3B3D"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516F3B3E"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14:paraId="516F3B3F" w14:textId="77777777" w:rsidR="003D47D5" w:rsidRDefault="00ED762E">
      <w:pPr>
        <w:keepNext/>
        <w:widowControl/>
        <w:numPr>
          <w:ilvl w:val="0"/>
          <w:numId w:val="2"/>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516F3B40"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Subject to Paragraphs 1 to 5 above and 7, a Buyer may award a Call-Off Contract wi</w:t>
      </w:r>
      <w:r>
        <w:rPr>
          <w:rFonts w:ascii="Arial" w:eastAsia="Arial" w:hAnsi="Arial" w:cs="Arial"/>
          <w:color w:val="000000"/>
          <w:sz w:val="24"/>
          <w:szCs w:val="24"/>
        </w:rPr>
        <w:t>th the Supplier by sending (including electronically) a signed order form substantially in the form (as may be amended or refined by the Buyer in accordance with Paragraph 3.1.2 above) of the Order Form Template set out in Framework Schedule 6A (Order Form</w:t>
      </w:r>
      <w:r>
        <w:rPr>
          <w:rFonts w:ascii="Arial" w:eastAsia="Arial" w:hAnsi="Arial" w:cs="Arial"/>
          <w:color w:val="000000"/>
          <w:sz w:val="24"/>
          <w:szCs w:val="24"/>
        </w:rPr>
        <w:t xml:space="preserve"> Template and </w:t>
      </w:r>
      <w:r>
        <w:rPr>
          <w:rFonts w:ascii="Arial" w:eastAsia="Arial" w:hAnsi="Arial" w:cs="Arial"/>
          <w:color w:val="000000"/>
          <w:sz w:val="24"/>
          <w:szCs w:val="24"/>
        </w:rPr>
        <w:lastRenderedPageBreak/>
        <w:t>Call-Off Schedules – Direct Award) or Framework Schedule 6B (Order Form Template and Call-Off Schedules – Further Competition), as applicable.</w:t>
      </w:r>
    </w:p>
    <w:p w14:paraId="516F3B41"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w:t>
      </w:r>
      <w:r>
        <w:rPr>
          <w:rFonts w:ascii="Arial" w:eastAsia="Arial" w:hAnsi="Arial" w:cs="Arial"/>
          <w:color w:val="000000"/>
          <w:sz w:val="24"/>
          <w:szCs w:val="24"/>
        </w:rPr>
        <w:t>e apparent form of a Call-Off Contract) which is not as described in this Paragraph 6 shall not constitute a Call-Off Contract under this Contract.</w:t>
      </w:r>
    </w:p>
    <w:p w14:paraId="516F3B42"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On receipt of an order form as described in Paragraph 6.1 from a Buyer the Supplier shall accept the Call-Of</w:t>
      </w:r>
      <w:r>
        <w:rPr>
          <w:rFonts w:ascii="Arial" w:eastAsia="Arial" w:hAnsi="Arial" w:cs="Arial"/>
          <w:color w:val="000000"/>
          <w:sz w:val="24"/>
          <w:szCs w:val="24"/>
        </w:rPr>
        <w:t>f Contract by promptly signing and returning (including by electronic means) a copy of the order form to the Buyer concerned.</w:t>
      </w:r>
    </w:p>
    <w:p w14:paraId="516F3B43" w14:textId="77777777" w:rsidR="003D47D5" w:rsidRDefault="00ED762E">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w:t>
      </w:r>
      <w:r>
        <w:rPr>
          <w:rFonts w:ascii="Arial" w:eastAsia="Arial" w:hAnsi="Arial" w:cs="Arial"/>
          <w:color w:val="000000"/>
          <w:sz w:val="24"/>
          <w:szCs w:val="24"/>
        </w:rPr>
        <w:t>e of receipt to the Supplier within two (2) Working Days and the Call Off Contract shall be formed with effect from the Call Off Start Date stated in the Order Form.</w:t>
      </w:r>
    </w:p>
    <w:p w14:paraId="516F3B44" w14:textId="77777777" w:rsidR="003D47D5" w:rsidRDefault="00ED762E">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14:paraId="516F3B45"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516F3B46"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w:t>
      </w:r>
      <w:r>
        <w:rPr>
          <w:rFonts w:ascii="Arial" w:eastAsia="Arial" w:hAnsi="Arial" w:cs="Arial"/>
          <w:color w:val="000000"/>
          <w:sz w:val="24"/>
          <w:szCs w:val="24"/>
        </w:rPr>
        <w:t>as modified by this Paragraph 7 and in accordance with any legal requirements applicable to that potential Exempt Buyer.</w:t>
      </w:r>
    </w:p>
    <w:p w14:paraId="516F3B47"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w:t>
      </w:r>
      <w:r>
        <w:rPr>
          <w:rFonts w:ascii="Arial" w:eastAsia="Arial" w:hAnsi="Arial" w:cs="Arial"/>
          <w:color w:val="000000"/>
          <w:sz w:val="24"/>
          <w:szCs w:val="24"/>
        </w:rPr>
        <w:t>ccordance with Paragraph 2 above as modified by Paragraph 7.4 below or through a Further Competition Procedure in accordance with Paragraph 3 as modified by Paragraph 7.5 below.</w:t>
      </w:r>
    </w:p>
    <w:p w14:paraId="516F3B48"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w:t>
      </w:r>
      <w:r>
        <w:rPr>
          <w:rFonts w:ascii="Arial" w:eastAsia="Arial" w:hAnsi="Arial" w:cs="Arial"/>
          <w:color w:val="000000"/>
          <w:sz w:val="24"/>
          <w:szCs w:val="24"/>
        </w:rPr>
        <w:t>xempt Buyer can determine that:</w:t>
      </w:r>
    </w:p>
    <w:p w14:paraId="516F3B49"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516F3B4A" w14:textId="77777777" w:rsidR="003D47D5" w:rsidRDefault="00ED762E">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516F3B4B" w14:textId="77777777" w:rsidR="003D47D5" w:rsidRDefault="00ED762E">
      <w:pPr>
        <w:widowControl/>
        <w:pBdr>
          <w:top w:val="nil"/>
          <w:left w:val="nil"/>
          <w:bottom w:val="nil"/>
          <w:right w:val="nil"/>
          <w:between w:val="nil"/>
        </w:pBdr>
        <w:tabs>
          <w:tab w:val="left" w:pos="3641"/>
        </w:tabs>
        <w:spacing w:before="120" w:after="120"/>
        <w:ind w:left="1890"/>
        <w:jc w:val="both"/>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14:paraId="516F3B4C"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w:t>
      </w:r>
      <w:r>
        <w:rPr>
          <w:rFonts w:ascii="Arial" w:eastAsia="Arial" w:hAnsi="Arial" w:cs="Arial"/>
          <w:color w:val="000000"/>
          <w:sz w:val="24"/>
          <w:szCs w:val="24"/>
        </w:rPr>
        <w:t xml:space="preserve"> or a solution in respect of Deliverables, then the potential Exempt Buyer may at its discretion use the procedure set out in Paragraph 3 above as modified by this Paragraph 7.5. In that case, references to “the Regulations” in Paragraph 3 above shall be r</w:t>
      </w:r>
      <w:r>
        <w:rPr>
          <w:rFonts w:ascii="Arial" w:eastAsia="Arial" w:hAnsi="Arial" w:cs="Arial"/>
          <w:color w:val="000000"/>
          <w:sz w:val="24"/>
          <w:szCs w:val="24"/>
        </w:rPr>
        <w:t xml:space="preserve">ead as references to “any legal requirements applicable to that potential Exempt Buyer”, and the Exempt Buyer shall be </w:t>
      </w:r>
      <w:r>
        <w:rPr>
          <w:rFonts w:ascii="Arial" w:eastAsia="Arial" w:hAnsi="Arial" w:cs="Arial"/>
          <w:color w:val="000000"/>
          <w:sz w:val="24"/>
          <w:szCs w:val="24"/>
        </w:rPr>
        <w:lastRenderedPageBreak/>
        <w:t>permitted to modify the Further Competition Procedure in accordance with any legal requirements applicable to the Exempt Buyer.</w:t>
      </w:r>
    </w:p>
    <w:p w14:paraId="516F3B4D" w14:textId="77777777" w:rsidR="003D47D5" w:rsidRDefault="00ED762E">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8" w:name="_heading=h.3rdcrjn" w:colFirst="0" w:colLast="0"/>
      <w:bookmarkEnd w:id="8"/>
      <w:r>
        <w:rPr>
          <w:rFonts w:ascii="Arial" w:eastAsia="Arial" w:hAnsi="Arial" w:cs="Arial"/>
          <w:color w:val="000000"/>
          <w:sz w:val="24"/>
          <w:szCs w:val="24"/>
        </w:rPr>
        <w:t>Paragraphs 7.1 to 7.5 above are without prejudice to an Exempt Buyer’s ability to make such further modifications to the Call-Off Procedure as it considers necessary and in accordance with any legal requirements applicable to that potential Exempt Buyer.</w:t>
      </w:r>
    </w:p>
    <w:p w14:paraId="516F3B4E" w14:textId="77777777" w:rsidR="003D47D5" w:rsidRDefault="00ED762E">
      <w:pPr>
        <w:jc w:val="both"/>
        <w:rPr>
          <w:rFonts w:ascii="Arial" w:eastAsia="Arial" w:hAnsi="Arial" w:cs="Arial"/>
          <w:sz w:val="24"/>
          <w:szCs w:val="24"/>
        </w:rPr>
      </w:pPr>
      <w:r>
        <w:br w:type="page"/>
      </w:r>
    </w:p>
    <w:p w14:paraId="516F3B4F" w14:textId="77777777" w:rsidR="003D47D5" w:rsidRDefault="003D47D5">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516F3B50" w14:textId="77777777" w:rsidR="003D47D5" w:rsidRDefault="00ED762E">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516F3B51" w14:textId="77777777" w:rsidR="003D47D5" w:rsidRDefault="00ED762E">
      <w:pPr>
        <w:widowControl/>
        <w:numPr>
          <w:ilvl w:val="0"/>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14:paraId="516F3B52" w14:textId="77777777" w:rsidR="003D47D5" w:rsidRDefault="00ED762E">
      <w:pPr>
        <w:widowControl/>
        <w:numPr>
          <w:ilvl w:val="0"/>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w:t>
      </w:r>
      <w:r>
        <w:rPr>
          <w:rFonts w:ascii="Arial" w:eastAsia="Arial" w:hAnsi="Arial" w:cs="Arial"/>
          <w:color w:val="000000"/>
          <w:sz w:val="24"/>
          <w:szCs w:val="24"/>
        </w:rPr>
        <w:t>r ("MEAT").</w:t>
      </w:r>
    </w:p>
    <w:p w14:paraId="516F3B53" w14:textId="77777777" w:rsidR="003D47D5" w:rsidRDefault="00ED762E">
      <w:pPr>
        <w:rPr>
          <w:rFonts w:ascii="Arial" w:eastAsia="Arial" w:hAnsi="Arial" w:cs="Arial"/>
          <w:b/>
          <w:smallCaps/>
          <w:sz w:val="24"/>
          <w:szCs w:val="24"/>
        </w:rPr>
      </w:pPr>
      <w:r>
        <w:br w:type="page"/>
      </w:r>
    </w:p>
    <w:p w14:paraId="516F3B54" w14:textId="77777777" w:rsidR="003D47D5" w:rsidRDefault="00ED762E">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14:paraId="516F3B55"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color w:val="000000"/>
          <w:sz w:val="24"/>
          <w:szCs w:val="24"/>
        </w:rPr>
        <w:t>The following criteria and weightings shall apply to the evaluation for direct award of each Call-Off Contract.</w:t>
      </w:r>
    </w:p>
    <w:tbl>
      <w:tblPr>
        <w:tblStyle w:val="a7"/>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3D47D5" w14:paraId="516F3B58" w14:textId="77777777">
        <w:tc>
          <w:tcPr>
            <w:tcW w:w="3544" w:type="dxa"/>
            <w:shd w:val="clear" w:color="auto" w:fill="E7E6E6"/>
          </w:tcPr>
          <w:p w14:paraId="516F3B56" w14:textId="77777777" w:rsidR="003D47D5" w:rsidRDefault="00ED762E">
            <w:pPr>
              <w:keepNext/>
              <w:widowControl/>
              <w:spacing w:before="120" w:after="120"/>
              <w:ind w:left="142"/>
              <w:jc w:val="both"/>
              <w:rPr>
                <w:rFonts w:ascii="Arial" w:eastAsia="Arial" w:hAnsi="Arial" w:cs="Arial"/>
                <w:b/>
                <w:sz w:val="24"/>
                <w:szCs w:val="24"/>
              </w:rPr>
            </w:pPr>
            <w:r>
              <w:rPr>
                <w:rFonts w:ascii="Arial" w:eastAsia="Arial" w:hAnsi="Arial" w:cs="Arial"/>
                <w:b/>
                <w:sz w:val="24"/>
                <w:szCs w:val="24"/>
              </w:rPr>
              <w:t xml:space="preserve">Criteria </w:t>
            </w:r>
          </w:p>
        </w:tc>
        <w:tc>
          <w:tcPr>
            <w:tcW w:w="5670" w:type="dxa"/>
            <w:shd w:val="clear" w:color="auto" w:fill="E7E6E6"/>
          </w:tcPr>
          <w:p w14:paraId="516F3B57" w14:textId="77777777" w:rsidR="003D47D5" w:rsidRDefault="00ED762E">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Rank order of importance where 1 = most important, 2 = second most important etc.</w:t>
            </w:r>
          </w:p>
        </w:tc>
      </w:tr>
      <w:tr w:rsidR="003D47D5" w14:paraId="516F3B5B" w14:textId="77777777">
        <w:tc>
          <w:tcPr>
            <w:tcW w:w="3544" w:type="dxa"/>
          </w:tcPr>
          <w:p w14:paraId="516F3B59" w14:textId="77777777" w:rsidR="003D47D5" w:rsidRDefault="00ED762E">
            <w:pPr>
              <w:keepNext/>
              <w:widowControl/>
              <w:spacing w:before="240" w:after="120"/>
              <w:jc w:val="both"/>
              <w:rPr>
                <w:rFonts w:ascii="Arial" w:eastAsia="Arial" w:hAnsi="Arial" w:cs="Arial"/>
                <w:sz w:val="24"/>
                <w:szCs w:val="24"/>
              </w:rPr>
            </w:pPr>
            <w:r>
              <w:rPr>
                <w:rFonts w:ascii="Arial" w:eastAsia="Arial" w:hAnsi="Arial" w:cs="Arial"/>
                <w:sz w:val="24"/>
                <w:szCs w:val="24"/>
              </w:rPr>
              <w:t>Price (life cycle costs, cost effectiveness &amp; price; price and running costs)</w:t>
            </w:r>
          </w:p>
        </w:tc>
        <w:tc>
          <w:tcPr>
            <w:tcW w:w="5670" w:type="dxa"/>
          </w:tcPr>
          <w:p w14:paraId="516F3B5A" w14:textId="77777777" w:rsidR="003D47D5" w:rsidRDefault="00ED762E">
            <w:pPr>
              <w:keepNext/>
              <w:widowControl/>
              <w:spacing w:before="240" w:after="120"/>
              <w:ind w:left="142"/>
              <w:jc w:val="both"/>
              <w:rPr>
                <w:rFonts w:ascii="Arial" w:eastAsia="Arial" w:hAnsi="Arial" w:cs="Arial"/>
                <w:sz w:val="24"/>
                <w:szCs w:val="24"/>
              </w:rPr>
            </w:pPr>
            <w:r>
              <w:rPr>
                <w:rFonts w:ascii="Arial" w:eastAsia="Arial" w:hAnsi="Arial" w:cs="Arial"/>
                <w:sz w:val="24"/>
                <w:szCs w:val="24"/>
              </w:rPr>
              <w:t>1</w:t>
            </w:r>
          </w:p>
        </w:tc>
      </w:tr>
      <w:tr w:rsidR="003D47D5" w14:paraId="516F3B5E" w14:textId="77777777">
        <w:tc>
          <w:tcPr>
            <w:tcW w:w="3544" w:type="dxa"/>
          </w:tcPr>
          <w:p w14:paraId="516F3B5C" w14:textId="77777777" w:rsidR="003D47D5" w:rsidRDefault="00ED762E">
            <w:pPr>
              <w:keepNext/>
              <w:widowControl/>
              <w:spacing w:before="240" w:after="120"/>
              <w:jc w:val="both"/>
              <w:rPr>
                <w:rFonts w:ascii="Arial" w:eastAsia="Arial" w:hAnsi="Arial" w:cs="Arial"/>
                <w:sz w:val="24"/>
                <w:szCs w:val="24"/>
              </w:rPr>
            </w:pPr>
            <w:r>
              <w:rPr>
                <w:rFonts w:ascii="Arial" w:eastAsia="Arial" w:hAnsi="Arial" w:cs="Arial"/>
                <w:sz w:val="24"/>
                <w:szCs w:val="24"/>
              </w:rPr>
              <w:t>Quality (including delivery time, sales service, good value, accessories, service fitness for purpose)</w:t>
            </w:r>
          </w:p>
        </w:tc>
        <w:tc>
          <w:tcPr>
            <w:tcW w:w="5670" w:type="dxa"/>
          </w:tcPr>
          <w:p w14:paraId="516F3B5D" w14:textId="77777777" w:rsidR="003D47D5" w:rsidRDefault="00ED762E">
            <w:pPr>
              <w:keepNext/>
              <w:widowControl/>
              <w:spacing w:before="240" w:after="120"/>
              <w:ind w:left="142"/>
              <w:jc w:val="both"/>
              <w:rPr>
                <w:rFonts w:ascii="Arial" w:eastAsia="Arial" w:hAnsi="Arial" w:cs="Arial"/>
                <w:sz w:val="24"/>
                <w:szCs w:val="24"/>
              </w:rPr>
            </w:pPr>
            <w:r>
              <w:rPr>
                <w:rFonts w:ascii="Arial" w:eastAsia="Arial" w:hAnsi="Arial" w:cs="Arial"/>
                <w:sz w:val="24"/>
                <w:szCs w:val="24"/>
              </w:rPr>
              <w:t>2</w:t>
            </w:r>
          </w:p>
        </w:tc>
      </w:tr>
    </w:tbl>
    <w:p w14:paraId="516F3B5F"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0"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1"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2"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3"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4"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5"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6"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7"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8"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9"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A"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B"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C"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D"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E"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6F" w14:textId="77777777" w:rsidR="003D47D5" w:rsidRDefault="003D47D5">
      <w:pPr>
        <w:widowControl/>
        <w:pBdr>
          <w:top w:val="nil"/>
          <w:left w:val="nil"/>
          <w:bottom w:val="nil"/>
          <w:right w:val="nil"/>
          <w:between w:val="nil"/>
        </w:pBdr>
        <w:tabs>
          <w:tab w:val="left" w:pos="851"/>
        </w:tabs>
        <w:spacing w:after="240"/>
        <w:jc w:val="both"/>
        <w:rPr>
          <w:rFonts w:ascii="Arial" w:eastAsia="Arial" w:hAnsi="Arial" w:cs="Arial"/>
          <w:sz w:val="24"/>
          <w:szCs w:val="24"/>
        </w:rPr>
      </w:pPr>
    </w:p>
    <w:p w14:paraId="516F3B70" w14:textId="77777777" w:rsidR="003D47D5" w:rsidRDefault="00ED762E">
      <w:pPr>
        <w:widowControl/>
        <w:pBdr>
          <w:top w:val="nil"/>
          <w:left w:val="nil"/>
          <w:bottom w:val="nil"/>
          <w:right w:val="nil"/>
          <w:between w:val="nil"/>
        </w:pBdr>
        <w:tabs>
          <w:tab w:val="left" w:pos="851"/>
        </w:tabs>
        <w:spacing w:after="240"/>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B: Further Competition Award Criteria</w:t>
      </w:r>
    </w:p>
    <w:p w14:paraId="516F3B71"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8"/>
        <w:tblW w:w="8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4154"/>
        <w:gridCol w:w="3051"/>
      </w:tblGrid>
      <w:tr w:rsidR="003D47D5" w14:paraId="516F3B76" w14:textId="77777777">
        <w:tc>
          <w:tcPr>
            <w:tcW w:w="1271" w:type="dxa"/>
            <w:shd w:val="clear" w:color="auto" w:fill="E7E6E6"/>
          </w:tcPr>
          <w:p w14:paraId="516F3B72" w14:textId="77777777" w:rsidR="003D47D5" w:rsidRDefault="00ED762E">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154" w:type="dxa"/>
            <w:shd w:val="clear" w:color="auto" w:fill="E7E6E6"/>
          </w:tcPr>
          <w:p w14:paraId="516F3B73" w14:textId="77777777" w:rsidR="003D47D5" w:rsidRDefault="00ED762E">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Customer conducting the Further Competition Procedure</w:t>
            </w:r>
          </w:p>
        </w:tc>
        <w:tc>
          <w:tcPr>
            <w:tcW w:w="3051" w:type="dxa"/>
            <w:shd w:val="clear" w:color="auto" w:fill="E7E6E6"/>
          </w:tcPr>
          <w:p w14:paraId="516F3B74"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color w:val="000000"/>
              </w:rPr>
              <w:t xml:space="preserve">Allowable Variance </w:t>
            </w:r>
          </w:p>
          <w:p w14:paraId="516F3B75"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color w:val="000000"/>
              </w:rPr>
              <w:t>(This may be modified by the Customer within the range below)</w:t>
            </w:r>
            <w:r>
              <w:rPr>
                <w:color w:val="000000"/>
              </w:rPr>
              <w:t xml:space="preserve"> </w:t>
            </w:r>
          </w:p>
        </w:tc>
      </w:tr>
      <w:tr w:rsidR="003D47D5" w14:paraId="516F3B7A" w14:textId="77777777">
        <w:tc>
          <w:tcPr>
            <w:tcW w:w="1271" w:type="dxa"/>
          </w:tcPr>
          <w:p w14:paraId="516F3B77"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Quality </w:t>
            </w:r>
          </w:p>
        </w:tc>
        <w:tc>
          <w:tcPr>
            <w:tcW w:w="4154" w:type="dxa"/>
          </w:tcPr>
          <w:p w14:paraId="516F3B78"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p w14:paraId="516F3B79"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(50% to 90%) </w:t>
            </w:r>
          </w:p>
        </w:tc>
      </w:tr>
      <w:tr w:rsidR="003D47D5" w14:paraId="516F3B7E" w14:textId="77777777">
        <w:tc>
          <w:tcPr>
            <w:tcW w:w="1271" w:type="dxa"/>
          </w:tcPr>
          <w:p w14:paraId="516F3B7B"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154" w:type="dxa"/>
          </w:tcPr>
          <w:p w14:paraId="516F3B7C"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p w14:paraId="516F3B7D" w14:textId="77777777" w:rsidR="003D47D5" w:rsidRDefault="00ED762E">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(10% to 50%) </w:t>
            </w:r>
          </w:p>
        </w:tc>
      </w:tr>
    </w:tbl>
    <w:p w14:paraId="516F3B7F" w14:textId="77777777" w:rsidR="003D47D5" w:rsidRDefault="003D47D5">
      <w:pPr>
        <w:widowControl/>
        <w:tabs>
          <w:tab w:val="left" w:pos="851"/>
        </w:tabs>
        <w:spacing w:after="240"/>
        <w:jc w:val="both"/>
        <w:rPr>
          <w:rFonts w:ascii="Arial" w:eastAsia="Arial" w:hAnsi="Arial" w:cs="Arial"/>
          <w:sz w:val="24"/>
          <w:szCs w:val="24"/>
        </w:rPr>
      </w:pPr>
      <w:bookmarkStart w:id="9" w:name="_heading=h.gjdgxs" w:colFirst="0" w:colLast="0"/>
      <w:bookmarkEnd w:id="9"/>
    </w:p>
    <w:tbl>
      <w:tblPr>
        <w:tblStyle w:val="a9"/>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47D5" w14:paraId="516F3B82" w14:textId="77777777">
        <w:tc>
          <w:tcPr>
            <w:tcW w:w="4508" w:type="dxa"/>
            <w:shd w:val="clear" w:color="auto" w:fill="E7E6E6"/>
          </w:tcPr>
          <w:p w14:paraId="516F3B80" w14:textId="77777777" w:rsidR="003D47D5" w:rsidRDefault="00ED762E">
            <w:pPr>
              <w:widowControl/>
              <w:tabs>
                <w:tab w:val="left" w:pos="851"/>
              </w:tabs>
              <w:spacing w:before="120" w:after="120"/>
              <w:jc w:val="both"/>
              <w:rPr>
                <w:rFonts w:ascii="Arial" w:eastAsia="Arial" w:hAnsi="Arial" w:cs="Arial"/>
                <w:sz w:val="24"/>
                <w:szCs w:val="24"/>
              </w:rPr>
            </w:pPr>
            <w:r>
              <w:rPr>
                <w:rFonts w:ascii="Arial" w:eastAsia="Arial" w:hAnsi="Arial" w:cs="Arial"/>
                <w:b/>
                <w:sz w:val="24"/>
                <w:szCs w:val="24"/>
              </w:rPr>
              <w:t>Criteria</w:t>
            </w:r>
          </w:p>
        </w:tc>
        <w:tc>
          <w:tcPr>
            <w:tcW w:w="4508" w:type="dxa"/>
            <w:shd w:val="clear" w:color="auto" w:fill="E7E6E6"/>
          </w:tcPr>
          <w:p w14:paraId="516F3B81" w14:textId="77777777" w:rsidR="003D47D5" w:rsidRDefault="00ED762E">
            <w:pPr>
              <w:widowControl/>
              <w:tabs>
                <w:tab w:val="left" w:pos="851"/>
              </w:tabs>
              <w:spacing w:after="240"/>
              <w:jc w:val="both"/>
              <w:rPr>
                <w:rFonts w:ascii="Arial" w:eastAsia="Arial" w:hAnsi="Arial" w:cs="Arial"/>
                <w:b/>
                <w:sz w:val="24"/>
                <w:szCs w:val="24"/>
              </w:rPr>
            </w:pPr>
            <w:r>
              <w:rPr>
                <w:rFonts w:ascii="Arial" w:eastAsia="Arial" w:hAnsi="Arial" w:cs="Arial"/>
                <w:b/>
                <w:sz w:val="24"/>
                <w:szCs w:val="24"/>
              </w:rPr>
              <w:t>Rank order of importance where 1 = most important, 2 = second most important etc.</w:t>
            </w:r>
          </w:p>
        </w:tc>
      </w:tr>
      <w:tr w:rsidR="003D47D5" w14:paraId="516F3B85" w14:textId="77777777">
        <w:tc>
          <w:tcPr>
            <w:tcW w:w="4508" w:type="dxa"/>
          </w:tcPr>
          <w:p w14:paraId="516F3B83" w14:textId="77777777" w:rsidR="003D47D5" w:rsidRDefault="00ED762E">
            <w:pPr>
              <w:widowControl/>
              <w:shd w:val="clear" w:color="auto" w:fill="FFFFFF"/>
              <w:tabs>
                <w:tab w:val="left" w:pos="851"/>
              </w:tabs>
              <w:spacing w:before="120" w:after="120"/>
              <w:jc w:val="both"/>
              <w:rPr>
                <w:rFonts w:ascii="Arial" w:eastAsia="Arial" w:hAnsi="Arial" w:cs="Arial"/>
                <w:sz w:val="24"/>
                <w:szCs w:val="24"/>
              </w:rPr>
            </w:pPr>
            <w:r>
              <w:rPr>
                <w:rFonts w:ascii="Arial" w:eastAsia="Arial" w:hAnsi="Arial" w:cs="Arial"/>
                <w:sz w:val="24"/>
                <w:szCs w:val="24"/>
              </w:rPr>
              <w:t>Security requirements beyond those set out in Call-Off Schedule 9A (Security) or Call-Off Schedule 9B (MOD Security) (as applicable)</w:t>
            </w:r>
          </w:p>
        </w:tc>
        <w:tc>
          <w:tcPr>
            <w:tcW w:w="4508" w:type="dxa"/>
          </w:tcPr>
          <w:p w14:paraId="516F3B84" w14:textId="77777777" w:rsidR="003D47D5" w:rsidRDefault="00ED762E">
            <w:pPr>
              <w:widowControl/>
              <w:shd w:val="clear" w:color="auto" w:fill="FFFFFF"/>
              <w:tabs>
                <w:tab w:val="left" w:pos="851"/>
              </w:tabs>
              <w:spacing w:before="120" w:after="120"/>
              <w:jc w:val="both"/>
              <w:rPr>
                <w:rFonts w:ascii="Arial" w:eastAsia="Arial" w:hAnsi="Arial" w:cs="Arial"/>
                <w:sz w:val="24"/>
                <w:szCs w:val="24"/>
              </w:rPr>
            </w:pPr>
            <w:r>
              <w:rPr>
                <w:rFonts w:ascii="Arial" w:eastAsia="Arial" w:hAnsi="Arial" w:cs="Arial"/>
                <w:sz w:val="24"/>
                <w:szCs w:val="24"/>
              </w:rPr>
              <w:t>1</w:t>
            </w:r>
          </w:p>
        </w:tc>
      </w:tr>
      <w:tr w:rsidR="003D47D5" w14:paraId="516F3B88" w14:textId="77777777">
        <w:tc>
          <w:tcPr>
            <w:tcW w:w="4508" w:type="dxa"/>
          </w:tcPr>
          <w:p w14:paraId="516F3B86" w14:textId="77777777" w:rsidR="003D47D5" w:rsidRDefault="00ED762E">
            <w:pPr>
              <w:widowControl/>
              <w:tabs>
                <w:tab w:val="left" w:pos="851"/>
              </w:tabs>
              <w:spacing w:after="240"/>
              <w:jc w:val="both"/>
              <w:rPr>
                <w:rFonts w:ascii="Arial" w:eastAsia="Arial" w:hAnsi="Arial" w:cs="Arial"/>
                <w:sz w:val="24"/>
                <w:szCs w:val="24"/>
              </w:rPr>
            </w:pPr>
            <w:r>
              <w:rPr>
                <w:rFonts w:ascii="Arial" w:eastAsia="Arial" w:hAnsi="Arial" w:cs="Arial"/>
                <w:sz w:val="24"/>
                <w:szCs w:val="24"/>
              </w:rPr>
              <w:t>Additional Service Levels</w:t>
            </w:r>
          </w:p>
        </w:tc>
        <w:tc>
          <w:tcPr>
            <w:tcW w:w="4508" w:type="dxa"/>
          </w:tcPr>
          <w:p w14:paraId="516F3B87" w14:textId="77777777" w:rsidR="003D47D5" w:rsidRDefault="00ED762E">
            <w:pPr>
              <w:widowControl/>
              <w:tabs>
                <w:tab w:val="left" w:pos="851"/>
              </w:tabs>
              <w:spacing w:after="240"/>
              <w:jc w:val="both"/>
              <w:rPr>
                <w:rFonts w:ascii="Arial" w:eastAsia="Arial" w:hAnsi="Arial" w:cs="Arial"/>
                <w:sz w:val="24"/>
                <w:szCs w:val="24"/>
              </w:rPr>
            </w:pPr>
            <w:r>
              <w:rPr>
                <w:rFonts w:ascii="Arial" w:eastAsia="Arial" w:hAnsi="Arial" w:cs="Arial"/>
                <w:sz w:val="24"/>
                <w:szCs w:val="24"/>
              </w:rPr>
              <w:t>2</w:t>
            </w:r>
          </w:p>
        </w:tc>
      </w:tr>
    </w:tbl>
    <w:p w14:paraId="516F3B8F" w14:textId="77777777" w:rsidR="003D47D5" w:rsidRDefault="003D47D5">
      <w:pPr>
        <w:widowControl/>
        <w:pBdr>
          <w:top w:val="nil"/>
          <w:left w:val="nil"/>
          <w:bottom w:val="nil"/>
          <w:right w:val="nil"/>
          <w:between w:val="nil"/>
        </w:pBdr>
        <w:jc w:val="both"/>
        <w:rPr>
          <w:rFonts w:ascii="Arial" w:eastAsia="Arial" w:hAnsi="Arial" w:cs="Arial"/>
          <w:color w:val="FFFFFF"/>
          <w:sz w:val="24"/>
          <w:szCs w:val="24"/>
        </w:rPr>
      </w:pPr>
      <w:bookmarkStart w:id="10" w:name="_GoBack"/>
      <w:bookmarkEnd w:id="10"/>
    </w:p>
    <w:sectPr w:rsidR="003D47D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F3BA4" w14:textId="77777777" w:rsidR="00000000" w:rsidRDefault="00ED762E">
      <w:r>
        <w:separator/>
      </w:r>
    </w:p>
  </w:endnote>
  <w:endnote w:type="continuationSeparator" w:id="0">
    <w:p w14:paraId="516F3BA6" w14:textId="77777777" w:rsidR="00000000" w:rsidRDefault="00ED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3B96" w14:textId="77777777" w:rsidR="003D47D5" w:rsidRDefault="00ED762E">
    <w:pPr>
      <w:tabs>
        <w:tab w:val="center" w:pos="4513"/>
        <w:tab w:val="right" w:pos="9026"/>
      </w:tabs>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516F3B97" w14:textId="0C591829" w:rsidR="003D47D5" w:rsidRDefault="00ED762E">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516F3B98" w14:textId="77777777" w:rsidR="003D47D5" w:rsidRDefault="00ED762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3B9C" w14:textId="77777777" w:rsidR="003D47D5" w:rsidRDefault="003D47D5">
    <w:pPr>
      <w:widowControl/>
      <w:pBdr>
        <w:top w:val="nil"/>
        <w:left w:val="nil"/>
        <w:bottom w:val="nil"/>
        <w:right w:val="nil"/>
        <w:between w:val="nil"/>
      </w:pBdr>
      <w:tabs>
        <w:tab w:val="center" w:pos="4513"/>
        <w:tab w:val="right" w:pos="9026"/>
      </w:tabs>
      <w:jc w:val="both"/>
      <w:rPr>
        <w:color w:val="000000"/>
      </w:rPr>
    </w:pPr>
  </w:p>
  <w:p w14:paraId="516F3B9D" w14:textId="77777777" w:rsidR="003D47D5" w:rsidRDefault="00ED762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516F3B9E" w14:textId="77777777" w:rsidR="003D47D5" w:rsidRDefault="00ED762E">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516F3B9F" w14:textId="77777777" w:rsidR="003D47D5" w:rsidRDefault="00ED762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F3BA0" w14:textId="77777777" w:rsidR="00000000" w:rsidRDefault="00ED762E">
      <w:r>
        <w:separator/>
      </w:r>
    </w:p>
  </w:footnote>
  <w:footnote w:type="continuationSeparator" w:id="0">
    <w:p w14:paraId="516F3BA2" w14:textId="77777777" w:rsidR="00000000" w:rsidRDefault="00ED7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3B94" w14:textId="77777777" w:rsidR="003D47D5" w:rsidRDefault="00ED762E">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516F3B95" w14:textId="77777777" w:rsidR="003D47D5" w:rsidRDefault="00ED762E">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3B99" w14:textId="77777777" w:rsidR="003D47D5" w:rsidRDefault="00ED762E">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516F3B9A" w14:textId="77777777" w:rsidR="003D47D5" w:rsidRDefault="00ED762E">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516F3B9B" w14:textId="77777777" w:rsidR="003D47D5" w:rsidRDefault="003D47D5">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68"/>
    <w:multiLevelType w:val="multilevel"/>
    <w:tmpl w:val="CAAEF55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33370DC9"/>
    <w:multiLevelType w:val="multilevel"/>
    <w:tmpl w:val="1FD23CBC"/>
    <w:lvl w:ilvl="0">
      <w:start w:val="1"/>
      <w:numFmt w:val="decimal"/>
      <w:lvlText w:val="%1."/>
      <w:lvlJc w:val="left"/>
      <w:pPr>
        <w:ind w:left="360" w:hanging="360"/>
      </w:pPr>
      <w:rPr>
        <w:rFonts w:ascii="Arial Bold" w:eastAsia="Arial Bold" w:hAnsi="Arial Bold" w:cs="Arial Bold"/>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4B709AF"/>
    <w:multiLevelType w:val="multilevel"/>
    <w:tmpl w:val="473E94E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576277A"/>
    <w:multiLevelType w:val="multilevel"/>
    <w:tmpl w:val="5922F05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0926F0F"/>
    <w:multiLevelType w:val="multilevel"/>
    <w:tmpl w:val="DF102D3A"/>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3084A0C"/>
    <w:multiLevelType w:val="multilevel"/>
    <w:tmpl w:val="E0FEFAE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7D5"/>
    <w:rsid w:val="003D47D5"/>
    <w:rsid w:val="00ED7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F3B06"/>
  <w15:docId w15:val="{514B8080-83A9-4370-819F-0F968D09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6"/>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6"/>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6"/>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irrJY0jbVnJW1kJtQUKmVAE/Zg==">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1884</Words>
  <Characters>10744</Characters>
  <Application>Microsoft Office Word</Application>
  <DocSecurity>0</DocSecurity>
  <Lines>89</Lines>
  <Paragraphs>25</Paragraphs>
  <ScaleCrop>false</ScaleCrop>
  <Company>Cabinet Office</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2</cp:revision>
  <dcterms:created xsi:type="dcterms:W3CDTF">2021-07-02T14:43:00Z</dcterms:created>
  <dcterms:modified xsi:type="dcterms:W3CDTF">2021-12-02T11:24:00Z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